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3E" w:rsidRPr="00091836" w:rsidRDefault="00AE5C3E" w:rsidP="00AE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AE5C3E" w:rsidRPr="00091836" w:rsidRDefault="00AE5C3E" w:rsidP="00AE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AE5C3E" w:rsidRPr="00091836" w:rsidRDefault="00AE5C3E" w:rsidP="00AE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AE5C3E" w:rsidRPr="00091836" w:rsidRDefault="00AE5C3E" w:rsidP="00AE5C3E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AE5C3E" w:rsidRPr="00091836" w:rsidRDefault="00AE5C3E" w:rsidP="00AE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DE7577" w:rsidRPr="004F2AF1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30628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</w:p>
    <w:p w:rsidR="009E1E7C" w:rsidRDefault="009E1E7C" w:rsidP="009E1E7C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3D5A" w:rsidRDefault="00DE3D5A" w:rsidP="009E1E7C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E7C" w:rsidRDefault="00DE7577" w:rsidP="009E1E7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E1E7C" w:rsidRDefault="009E1E7C" w:rsidP="009E1E7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1E7C" w:rsidRDefault="00AE5C3E" w:rsidP="009E1E7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5C3E">
        <w:rPr>
          <w:rFonts w:ascii="Times New Roman" w:eastAsia="Calibri" w:hAnsi="Times New Roman" w:cs="Times New Roman"/>
          <w:sz w:val="36"/>
          <w:szCs w:val="36"/>
          <w:lang w:eastAsia="ru-RU"/>
        </w:rPr>
        <w:t>Производственная практика:</w:t>
      </w:r>
    </w:p>
    <w:p w:rsidR="00DE7577" w:rsidRPr="009E1E7C" w:rsidRDefault="00436827" w:rsidP="009E1E7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Научно-исследовательская работа</w:t>
      </w:r>
    </w:p>
    <w:p w:rsidR="00DE7577" w:rsidRPr="0057747D" w:rsidRDefault="00DE7577" w:rsidP="00DE7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AE5C3E" w:rsidRPr="00091836" w:rsidRDefault="00AE5C3E" w:rsidP="00AE5C3E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Направленность (профиль)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7521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заочная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 года 6 месяцев</w:t>
      </w: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5C3E" w:rsidRPr="00091836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5C3E" w:rsidRDefault="00AE5C3E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5C3E" w:rsidRDefault="00AE5C3E" w:rsidP="00AE5C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21DE" w:rsidRPr="00091836" w:rsidRDefault="007521DE" w:rsidP="00AE5C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5C3E" w:rsidRDefault="004F2AF1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Нальчик 2021</w:t>
      </w:r>
    </w:p>
    <w:p w:rsidR="004F2AF1" w:rsidRDefault="004F2AF1" w:rsidP="00AE5C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7577" w:rsidRPr="009E1E7C" w:rsidRDefault="00DE7577" w:rsidP="009E1E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1E7C">
        <w:rPr>
          <w:rFonts w:ascii="Times New Roman" w:hAnsi="Times New Roman" w:cs="Times New Roman"/>
          <w:b/>
          <w:bCs/>
          <w:i/>
          <w:sz w:val="24"/>
          <w:szCs w:val="24"/>
        </w:rPr>
        <w:t>1.Цель и задачи изучения дисциплины</w:t>
      </w:r>
    </w:p>
    <w:p w:rsidR="00EF4DCA" w:rsidRPr="009E1E7C" w:rsidRDefault="00EF4DCA" w:rsidP="009E1E7C">
      <w:pPr>
        <w:pStyle w:val="Default"/>
        <w:ind w:firstLine="708"/>
        <w:contextualSpacing/>
        <w:jc w:val="both"/>
      </w:pPr>
      <w:r w:rsidRPr="009E1E7C">
        <w:rPr>
          <w:i/>
        </w:rPr>
        <w:t>Цель</w:t>
      </w:r>
      <w:r w:rsidRPr="009E1E7C">
        <w:t xml:space="preserve"> научно-исследовательской работы  подготовка музыкантов-исполнителей к научной и научно-методической работе согласно избранной специальности в начальных и средних звеньях музыкального образования, систематизация знаний в области истории и теории музыки и музыкальной педагогики, теории и практики музыкального исполнительства. </w:t>
      </w:r>
    </w:p>
    <w:p w:rsidR="00EF4DCA" w:rsidRPr="009E1E7C" w:rsidRDefault="00EF4DCA" w:rsidP="009E1E7C">
      <w:pPr>
        <w:pStyle w:val="Default"/>
        <w:ind w:firstLine="708"/>
        <w:contextualSpacing/>
        <w:jc w:val="both"/>
      </w:pPr>
      <w:r w:rsidRPr="009E1E7C">
        <w:t>В</w:t>
      </w:r>
      <w:r w:rsidRPr="009E1E7C">
        <w:rPr>
          <w:i/>
        </w:rPr>
        <w:t xml:space="preserve"> задачи</w:t>
      </w:r>
      <w:r w:rsidRPr="009E1E7C">
        <w:t xml:space="preserve"> научно-исследовательской работы входит обобщение и </w:t>
      </w:r>
      <w:r w:rsidR="009514CA" w:rsidRPr="009E1E7C">
        <w:t xml:space="preserve"> </w:t>
      </w:r>
      <w:r w:rsidRPr="009E1E7C">
        <w:t xml:space="preserve">систематизация знаний студентов в области теоретических и исполнительских дисциплин; помощь молодым музыкантам в осмыслении собственной исполнительской и музыкально-педагогической деятельности; изложение практических рекомендаций по изучению специальной (исполнительской), музыкально-педагогической и музыкально-психологической литературы и самостоятельному написанию теоретической работы (реферата) по вопросам исполнительства и педагогики в соответствие с профилем подготовки. </w:t>
      </w:r>
    </w:p>
    <w:p w:rsidR="00DE7577" w:rsidRPr="009E1E7C" w:rsidRDefault="00DE7577" w:rsidP="009E1E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7577" w:rsidRPr="009E1E7C" w:rsidRDefault="00DE7577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E7C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EF4DCA" w:rsidRPr="009E1E7C" w:rsidRDefault="00EF4DCA" w:rsidP="009E1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E9301F" w:rsidRPr="009E1E7C" w:rsidRDefault="00E9301F" w:rsidP="009E1E7C">
      <w:pPr>
        <w:pStyle w:val="Default"/>
        <w:contextualSpacing/>
        <w:jc w:val="both"/>
        <w:rPr>
          <w:color w:val="auto"/>
        </w:rPr>
      </w:pPr>
      <w:r w:rsidRPr="009E1E7C">
        <w:rPr>
          <w:rFonts w:eastAsia="Times New Roman"/>
          <w:lang w:eastAsia="ru-RU" w:bidi="ru-RU"/>
        </w:rPr>
        <w:t>-  способность управлять проектом на всех этапах его жизненного цикла (УК-2)</w:t>
      </w:r>
    </w:p>
    <w:p w:rsidR="00753CA8" w:rsidRPr="009E1E7C" w:rsidRDefault="00753CA8" w:rsidP="009E1E7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проблему и основные задачи исследования, отбирать необходимые для осуществления научно-исследовательской работы аналитические методы и использовать их для решения поста</w:t>
      </w:r>
      <w:r w:rsidR="00E9301F"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задач исследования (ПК-4</w:t>
      </w:r>
      <w:r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CA8" w:rsidRPr="009E1E7C" w:rsidRDefault="00753CA8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E24" w:rsidRPr="009E1E7C" w:rsidRDefault="002F0E24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Место дисциплины в структуре О</w:t>
      </w:r>
      <w:r w:rsidR="00AE187D" w:rsidRPr="009E1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9E1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 ВО</w:t>
      </w:r>
    </w:p>
    <w:p w:rsidR="002F0E24" w:rsidRPr="009E1E7C" w:rsidRDefault="00FC5BB8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Блок 2. «Практики». Часть, формируемая участниками</w:t>
      </w:r>
      <w:r w:rsidR="00E74ADF" w:rsidRPr="009E1E7C">
        <w:rPr>
          <w:rFonts w:ascii="Times New Roman" w:hAnsi="Times New Roman" w:cs="Times New Roman"/>
          <w:sz w:val="24"/>
          <w:szCs w:val="24"/>
        </w:rPr>
        <w:t xml:space="preserve"> образовательных отношений  Б2.В.</w:t>
      </w:r>
      <w:r w:rsidRPr="009E1E7C">
        <w:rPr>
          <w:rFonts w:ascii="Times New Roman" w:hAnsi="Times New Roman" w:cs="Times New Roman"/>
          <w:sz w:val="24"/>
          <w:szCs w:val="24"/>
        </w:rPr>
        <w:t>0</w:t>
      </w:r>
      <w:r w:rsidR="00E74ADF" w:rsidRPr="009E1E7C">
        <w:rPr>
          <w:rFonts w:ascii="Times New Roman" w:hAnsi="Times New Roman" w:cs="Times New Roman"/>
          <w:sz w:val="24"/>
          <w:szCs w:val="24"/>
        </w:rPr>
        <w:t>1</w:t>
      </w:r>
      <w:r w:rsidRPr="009E1E7C">
        <w:rPr>
          <w:rFonts w:ascii="Times New Roman" w:hAnsi="Times New Roman" w:cs="Times New Roman"/>
          <w:sz w:val="24"/>
          <w:szCs w:val="24"/>
        </w:rPr>
        <w:t>.  Производственная практика</w:t>
      </w:r>
    </w:p>
    <w:p w:rsidR="00FC5BB8" w:rsidRPr="009E1E7C" w:rsidRDefault="00FC5BB8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577" w:rsidRPr="009E1E7C" w:rsidRDefault="002F0E24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E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E7577" w:rsidRPr="009E1E7C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2437BB" w:rsidRPr="009E1E7C">
        <w:rPr>
          <w:rFonts w:ascii="Times New Roman" w:hAnsi="Times New Roman" w:cs="Times New Roman"/>
          <w:sz w:val="24"/>
          <w:szCs w:val="24"/>
        </w:rPr>
        <w:t xml:space="preserve">научно исследовательской работы </w:t>
      </w:r>
      <w:r w:rsidRPr="009E1E7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b/>
          <w:sz w:val="24"/>
          <w:szCs w:val="24"/>
        </w:rPr>
        <w:t>знать:</w:t>
      </w:r>
      <w:r w:rsidRPr="009E1E7C">
        <w:rPr>
          <w:rFonts w:ascii="Times New Roman" w:hAnsi="Times New Roman" w:cs="Times New Roman"/>
          <w:sz w:val="24"/>
          <w:szCs w:val="24"/>
        </w:rPr>
        <w:t xml:space="preserve"> методологические подходы к историческим и теоретическим исследованиям в сфере искусства и культуры; современные проблемы искусствоведения и музыкального искусства; основные закономерности развития искусства в контексте мирового культурного процесса; философские аспекты познания закономерностей научного и художественного творчества;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E1E7C">
        <w:rPr>
          <w:rFonts w:ascii="Times New Roman" w:hAnsi="Times New Roman" w:cs="Times New Roman"/>
          <w:sz w:val="24"/>
          <w:szCs w:val="24"/>
        </w:rPr>
        <w:t xml:space="preserve"> оперировать основными знаниями в области истории искусства и мировой культуры па основе их критического осмысления; применять методы научного исследования явлений искусства и проблем музыкальной педагогики;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данных; совершенствовать и развивать свой интеллектуальный уровень в профессиональной сфере; осуществлять комплексное научное исследование;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9E1E7C">
        <w:rPr>
          <w:rFonts w:ascii="Times New Roman" w:hAnsi="Times New Roman" w:cs="Times New Roman"/>
          <w:sz w:val="24"/>
          <w:szCs w:val="24"/>
        </w:rPr>
        <w:t xml:space="preserve"> навыками критического осмысления явлений искусства; методологией научных исследований в области музыкального искусства и педагогики; научным языком изложения материала и навыками научной полемики; инновационными технологиями и методами выявления проблем в профессиональной сфере.</w:t>
      </w:r>
    </w:p>
    <w:p w:rsidR="002F0E24" w:rsidRPr="009E1E7C" w:rsidRDefault="002F0E24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E24" w:rsidRPr="009E1E7C" w:rsidRDefault="002F0E24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577" w:rsidRPr="009E1E7C" w:rsidRDefault="002F0E24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1E7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5</w:t>
      </w:r>
      <w:r w:rsidR="00DE7577" w:rsidRPr="009E1E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E5C3E" w:rsidRPr="009E1E7C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FC5BB8" w:rsidRPr="009E1E7C" w:rsidRDefault="00AC7B65" w:rsidP="009E1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60379B" w:rsidRPr="009E1E7C">
        <w:rPr>
          <w:rFonts w:ascii="Times New Roman" w:hAnsi="Times New Roman" w:cs="Times New Roman"/>
          <w:sz w:val="24"/>
          <w:szCs w:val="24"/>
        </w:rPr>
        <w:t>трудоёмкость дисциплины – 10 зачётных единиц (360</w:t>
      </w:r>
      <w:r w:rsidRPr="009E1E7C">
        <w:rPr>
          <w:rFonts w:ascii="Times New Roman" w:hAnsi="Times New Roman" w:cs="Times New Roman"/>
          <w:sz w:val="24"/>
          <w:szCs w:val="24"/>
        </w:rPr>
        <w:t xml:space="preserve"> часов), из них индивидуальные занятия с преподавателем (аудиторная работа) – </w:t>
      </w:r>
      <w:r w:rsidR="00655ABC">
        <w:rPr>
          <w:rFonts w:ascii="Times New Roman" w:hAnsi="Times New Roman" w:cs="Times New Roman"/>
          <w:sz w:val="24"/>
          <w:szCs w:val="24"/>
        </w:rPr>
        <w:t>50</w:t>
      </w:r>
      <w:r w:rsidRPr="009E1E7C">
        <w:rPr>
          <w:rFonts w:ascii="Times New Roman" w:hAnsi="Times New Roman" w:cs="Times New Roman"/>
          <w:sz w:val="24"/>
          <w:szCs w:val="24"/>
        </w:rPr>
        <w:t xml:space="preserve"> часов, са</w:t>
      </w:r>
      <w:r w:rsidR="00B05949" w:rsidRPr="009E1E7C">
        <w:rPr>
          <w:rFonts w:ascii="Times New Roman" w:hAnsi="Times New Roman" w:cs="Times New Roman"/>
          <w:sz w:val="24"/>
          <w:szCs w:val="24"/>
        </w:rPr>
        <w:t>мо</w:t>
      </w:r>
      <w:r w:rsidR="00E9301F" w:rsidRPr="009E1E7C">
        <w:rPr>
          <w:rFonts w:ascii="Times New Roman" w:hAnsi="Times New Roman" w:cs="Times New Roman"/>
          <w:sz w:val="24"/>
          <w:szCs w:val="24"/>
        </w:rPr>
        <w:t xml:space="preserve">стоятельная работа студента  </w:t>
      </w:r>
      <w:r w:rsidR="00655ABC">
        <w:rPr>
          <w:rFonts w:ascii="Times New Roman" w:hAnsi="Times New Roman" w:cs="Times New Roman"/>
          <w:sz w:val="24"/>
          <w:szCs w:val="24"/>
        </w:rPr>
        <w:t>310 часов.</w:t>
      </w:r>
      <w:r w:rsidR="00FC5BB8" w:rsidRPr="009E1E7C">
        <w:rPr>
          <w:rFonts w:ascii="Times New Roman" w:hAnsi="Times New Roman" w:cs="Times New Roman"/>
          <w:sz w:val="24"/>
          <w:szCs w:val="24"/>
        </w:rPr>
        <w:t xml:space="preserve">  Вр</w:t>
      </w:r>
      <w:r w:rsidR="00655ABC">
        <w:rPr>
          <w:rFonts w:ascii="Times New Roman" w:hAnsi="Times New Roman" w:cs="Times New Roman"/>
          <w:sz w:val="24"/>
          <w:szCs w:val="24"/>
        </w:rPr>
        <w:t xml:space="preserve">емя изучения  </w:t>
      </w:r>
      <w:r w:rsidR="00FC5BB8" w:rsidRPr="009E1E7C">
        <w:rPr>
          <w:rFonts w:ascii="Times New Roman" w:hAnsi="Times New Roman" w:cs="Times New Roman"/>
          <w:sz w:val="24"/>
          <w:szCs w:val="24"/>
        </w:rPr>
        <w:t>1 – 5 семестры.</w:t>
      </w:r>
      <w:r w:rsidR="00FC5BB8" w:rsidRPr="009E1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01F" w:rsidRPr="009E1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ABC">
        <w:rPr>
          <w:rFonts w:ascii="Times New Roman" w:hAnsi="Times New Roman" w:cs="Times New Roman"/>
          <w:bCs/>
          <w:sz w:val="24"/>
          <w:szCs w:val="24"/>
        </w:rPr>
        <w:t>Зачеты – 2,3,4 семестры, экзамен – 5 семестр.</w:t>
      </w:r>
      <w:r w:rsidR="00FC5BB8" w:rsidRPr="009E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65" w:rsidRPr="009E1E7C" w:rsidRDefault="00AC7B65" w:rsidP="009E1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Формы проведения учебной работы:</w:t>
      </w:r>
      <w:r w:rsidR="009514CA" w:rsidRPr="009E1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>индивидуальные занятия, в ходе которых студенты получают теоретический материал, дополненный мультимедийными приложениями. Помимо сугубо индивидуальных занятий предполагаются занятия в форме совместной работы над источником рассмотрение отдельных научных вопросов, знакомство с новейшей литературой.</w:t>
      </w:r>
    </w:p>
    <w:p w:rsidR="00C96D2D" w:rsidRPr="009E1E7C" w:rsidRDefault="00C96D2D" w:rsidP="009E1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Видами учебной работы также могут быть:</w:t>
      </w:r>
    </w:p>
    <w:p w:rsidR="00AC7B65" w:rsidRPr="009E1E7C" w:rsidRDefault="00C96D2D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осуществление библиографического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поиск</w:t>
      </w:r>
      <w:r w:rsidRPr="009E1E7C">
        <w:rPr>
          <w:rFonts w:ascii="Times New Roman" w:hAnsi="Times New Roman" w:cs="Times New Roman"/>
          <w:bCs/>
          <w:sz w:val="24"/>
          <w:szCs w:val="24"/>
        </w:rPr>
        <w:t>а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современных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информационных технологий;</w:t>
      </w:r>
    </w:p>
    <w:p w:rsidR="00AC7B65" w:rsidRPr="009E1E7C" w:rsidRDefault="00C96D2D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формулирование задач, возникающих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в ходе выпо</w:t>
      </w:r>
      <w:r w:rsidRPr="009E1E7C">
        <w:rPr>
          <w:rFonts w:ascii="Times New Roman" w:hAnsi="Times New Roman" w:cs="Times New Roman"/>
          <w:bCs/>
          <w:sz w:val="24"/>
          <w:szCs w:val="24"/>
        </w:rPr>
        <w:t xml:space="preserve">лнения научно-исследовательской 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работы и </w:t>
      </w:r>
      <w:r w:rsidRPr="009E1E7C">
        <w:rPr>
          <w:rFonts w:ascii="Times New Roman" w:hAnsi="Times New Roman" w:cs="Times New Roman"/>
          <w:bCs/>
          <w:sz w:val="24"/>
          <w:szCs w:val="24"/>
        </w:rPr>
        <w:t>поиски путей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их решения;</w:t>
      </w:r>
    </w:p>
    <w:p w:rsidR="00AC7B65" w:rsidRPr="009E1E7C" w:rsidRDefault="00C96D2D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всесторонний анализ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произведения м</w:t>
      </w:r>
      <w:r w:rsidRPr="009E1E7C">
        <w:rPr>
          <w:rFonts w:ascii="Times New Roman" w:hAnsi="Times New Roman" w:cs="Times New Roman"/>
          <w:bCs/>
          <w:sz w:val="24"/>
          <w:szCs w:val="24"/>
        </w:rPr>
        <w:t xml:space="preserve">узыкального искусства с позиций 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искусствоведения и м</w:t>
      </w:r>
      <w:r w:rsidRPr="009E1E7C">
        <w:rPr>
          <w:rFonts w:ascii="Times New Roman" w:hAnsi="Times New Roman" w:cs="Times New Roman"/>
          <w:bCs/>
          <w:sz w:val="24"/>
          <w:szCs w:val="24"/>
        </w:rPr>
        <w:t xml:space="preserve">узыковедения, а также соотношение результатов с состоянием дел в 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смежных науках, с методами, внедренными в них, и исследовательскими достижениями;</w:t>
      </w:r>
    </w:p>
    <w:p w:rsidR="00AC7B65" w:rsidRPr="009E1E7C" w:rsidRDefault="009514CA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выбо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>р необходимых методов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исследования, исходя из задач конкре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>тного исследования (по теме ВКР</w:t>
      </w:r>
      <w:r w:rsidR="00B05949" w:rsidRPr="009E1E7C">
        <w:rPr>
          <w:rFonts w:ascii="Times New Roman" w:hAnsi="Times New Roman" w:cs="Times New Roman"/>
          <w:bCs/>
          <w:sz w:val="24"/>
          <w:szCs w:val="24"/>
        </w:rPr>
        <w:t xml:space="preserve">  (магистерской работы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) или при выполнении заданий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 xml:space="preserve"> научного руководителя в рамках 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магистерской программы);</w:t>
      </w:r>
    </w:p>
    <w:p w:rsidR="00AC7B65" w:rsidRPr="009E1E7C" w:rsidRDefault="009514CA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примене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 xml:space="preserve">ние современных информационных технологий при проведении научных 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исследований;</w:t>
      </w:r>
    </w:p>
    <w:p w:rsidR="00AC7B65" w:rsidRPr="009E1E7C" w:rsidRDefault="00C96D2D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– обрабатывание  полученных результатов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>, анализ</w:t>
      </w:r>
      <w:r w:rsidRPr="009E1E7C">
        <w:rPr>
          <w:rFonts w:ascii="Times New Roman" w:hAnsi="Times New Roman" w:cs="Times New Roman"/>
          <w:bCs/>
          <w:sz w:val="24"/>
          <w:szCs w:val="24"/>
        </w:rPr>
        <w:t xml:space="preserve"> и представление</w:t>
      </w:r>
      <w:r w:rsidR="00AC7B65" w:rsidRPr="009E1E7C">
        <w:rPr>
          <w:rFonts w:ascii="Times New Roman" w:hAnsi="Times New Roman" w:cs="Times New Roman"/>
          <w:bCs/>
          <w:sz w:val="24"/>
          <w:szCs w:val="24"/>
        </w:rPr>
        <w:t xml:space="preserve"> их в виде</w:t>
      </w:r>
    </w:p>
    <w:p w:rsidR="00AC7B65" w:rsidRPr="009E1E7C" w:rsidRDefault="00AC7B65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7C">
        <w:rPr>
          <w:rFonts w:ascii="Times New Roman" w:hAnsi="Times New Roman" w:cs="Times New Roman"/>
          <w:bCs/>
          <w:sz w:val="24"/>
          <w:szCs w:val="24"/>
        </w:rPr>
        <w:t>законченных научно-исследовательских разработок (отч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 xml:space="preserve">ета по научно-исследовательской </w:t>
      </w:r>
      <w:r w:rsidRPr="009E1E7C">
        <w:rPr>
          <w:rFonts w:ascii="Times New Roman" w:hAnsi="Times New Roman" w:cs="Times New Roman"/>
          <w:bCs/>
          <w:sz w:val="24"/>
          <w:szCs w:val="24"/>
        </w:rPr>
        <w:t>работе, тезисов докладов, научной статьи, курсовой работы, ВКР)</w:t>
      </w:r>
      <w:r w:rsidR="00C96D2D" w:rsidRPr="009E1E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D2D" w:rsidRPr="009E1E7C" w:rsidRDefault="00C96D2D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577" w:rsidRPr="009E1E7C" w:rsidRDefault="002F0E24" w:rsidP="009E1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DE7577"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AE5C3E"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B05949" w:rsidRPr="009E1E7C" w:rsidRDefault="00AC7B65" w:rsidP="009E1E7C">
      <w:pPr>
        <w:pStyle w:val="Default"/>
        <w:ind w:firstLine="708"/>
        <w:contextualSpacing/>
        <w:jc w:val="both"/>
        <w:rPr>
          <w:color w:val="auto"/>
        </w:rPr>
      </w:pPr>
      <w:r w:rsidRPr="009E1E7C">
        <w:rPr>
          <w:color w:val="auto"/>
        </w:rPr>
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Практика научно-исследовательской работы реализуется в форме индивидуальных занятий. Конкретное содержание практики определяется руководителем, который осуществляет подготовку магистров. </w:t>
      </w:r>
      <w:r w:rsidR="00D74D68" w:rsidRPr="009E1E7C">
        <w:rPr>
          <w:color w:val="auto"/>
        </w:rPr>
        <w:t>По окончании курса в четвертом семестре экзамен.</w:t>
      </w:r>
    </w:p>
    <w:p w:rsidR="009E1E7C" w:rsidRPr="009E1E7C" w:rsidRDefault="009E1E7C" w:rsidP="009E1E7C">
      <w:pPr>
        <w:pStyle w:val="Default"/>
        <w:contextualSpacing/>
        <w:jc w:val="both"/>
        <w:rPr>
          <w:color w:val="auto"/>
        </w:rPr>
      </w:pPr>
    </w:p>
    <w:p w:rsidR="00E9301F" w:rsidRDefault="00E9301F" w:rsidP="009E1E7C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</w:t>
      </w:r>
    </w:p>
    <w:p w:rsidR="009E1E7C" w:rsidRPr="009E1E7C" w:rsidRDefault="009E1E7C" w:rsidP="009E1E7C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369"/>
        <w:gridCol w:w="2181"/>
        <w:gridCol w:w="2199"/>
        <w:gridCol w:w="2014"/>
      </w:tblGrid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  с педагогом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2659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9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9" w:type="dxa"/>
          </w:tcPr>
          <w:p w:rsidR="00655ABC" w:rsidRPr="009E1E7C" w:rsidRDefault="00655ABC" w:rsidP="00655AB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9" w:type="dxa"/>
          </w:tcPr>
          <w:p w:rsidR="00E9301F" w:rsidRPr="009E1E7C" w:rsidRDefault="00655ABC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9" w:type="dxa"/>
          </w:tcPr>
          <w:p w:rsidR="00E9301F" w:rsidRPr="009E1E7C" w:rsidRDefault="00655ABC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9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9301F" w:rsidRPr="009E1E7C" w:rsidTr="009E1E7C">
        <w:trPr>
          <w:jc w:val="center"/>
        </w:trPr>
        <w:tc>
          <w:tcPr>
            <w:tcW w:w="15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Итого:360 часов</w:t>
            </w:r>
          </w:p>
        </w:tc>
        <w:tc>
          <w:tcPr>
            <w:tcW w:w="1134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50</w:t>
            </w:r>
          </w:p>
        </w:tc>
        <w:tc>
          <w:tcPr>
            <w:tcW w:w="2126" w:type="dxa"/>
          </w:tcPr>
          <w:p w:rsidR="00E9301F" w:rsidRPr="009E1E7C" w:rsidRDefault="00E9301F" w:rsidP="009E1E7C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  часов, 36 ч. из них подготовка к экзамену</w:t>
            </w:r>
          </w:p>
        </w:tc>
        <w:tc>
          <w:tcPr>
            <w:tcW w:w="2659" w:type="dxa"/>
          </w:tcPr>
          <w:p w:rsidR="00E9301F" w:rsidRPr="009E1E7C" w:rsidRDefault="004F2AF1" w:rsidP="009E1E7C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УК-2;  </w:t>
            </w:r>
            <w:r w:rsidR="00E9301F" w:rsidRPr="009E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ПК-4.</w:t>
            </w:r>
          </w:p>
        </w:tc>
      </w:tr>
    </w:tbl>
    <w:p w:rsidR="00DE7577" w:rsidRDefault="00DE7577" w:rsidP="009E1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5ABC" w:rsidRPr="009E1E7C" w:rsidRDefault="00655ABC" w:rsidP="009E1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5C3E" w:rsidRPr="009E1E7C" w:rsidRDefault="001741E6" w:rsidP="009E1E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7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7. </w:t>
      </w:r>
      <w:r w:rsidR="00AE5C3E" w:rsidRPr="009E1E7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  <w:r w:rsidR="00AE5C3E" w:rsidRPr="009E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E24" w:rsidRPr="009E1E7C" w:rsidRDefault="001741E6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Формы оценочных средств по данному виду практики предполагает</w:t>
      </w:r>
      <w:r w:rsidR="00AE5C3E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 xml:space="preserve">непосредственное наблюдение руководителя практики за деятельностью </w:t>
      </w:r>
      <w:r w:rsidR="00AE5C3E" w:rsidRPr="009E1E7C">
        <w:rPr>
          <w:rFonts w:ascii="Times New Roman" w:hAnsi="Times New Roman" w:cs="Times New Roman"/>
          <w:sz w:val="24"/>
          <w:szCs w:val="24"/>
        </w:rPr>
        <w:t>студента-практиканта. Регулярно</w:t>
      </w:r>
      <w:r w:rsidRPr="009E1E7C">
        <w:rPr>
          <w:rFonts w:ascii="Times New Roman" w:hAnsi="Times New Roman" w:cs="Times New Roman"/>
          <w:sz w:val="24"/>
          <w:szCs w:val="24"/>
        </w:rPr>
        <w:t>проводятся собеседования, коллоквиумы</w:t>
      </w:r>
      <w:r w:rsidR="00AE5C3E" w:rsidRPr="009E1E7C">
        <w:rPr>
          <w:rFonts w:ascii="Times New Roman" w:hAnsi="Times New Roman" w:cs="Times New Roman"/>
          <w:sz w:val="24"/>
          <w:szCs w:val="24"/>
        </w:rPr>
        <w:t xml:space="preserve">  </w:t>
      </w:r>
      <w:r w:rsidRPr="009E1E7C">
        <w:rPr>
          <w:rFonts w:ascii="Times New Roman" w:hAnsi="Times New Roman" w:cs="Times New Roman"/>
          <w:sz w:val="24"/>
          <w:szCs w:val="24"/>
        </w:rPr>
        <w:t>по направлению дипломного проекта, с учетом специфики исследования. Результаты сбора материала в ходе прохождения практики регулярно апробируются на предварительных выступлениях с текстом защиты дипломного проекта.</w:t>
      </w:r>
    </w:p>
    <w:p w:rsidR="002F0E24" w:rsidRPr="009E1E7C" w:rsidRDefault="002F0E24" w:rsidP="009E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E7577" w:rsidRPr="009E1E7C" w:rsidRDefault="001741E6" w:rsidP="009E1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DE7577"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C96D2D" w:rsidRPr="009E1E7C" w:rsidRDefault="00C96D2D" w:rsidP="009E1E7C">
      <w:pPr>
        <w:tabs>
          <w:tab w:val="left" w:pos="1134"/>
          <w:tab w:val="right" w:leader="underscore" w:pos="8505"/>
        </w:tabs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1E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9E1E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 xml:space="preserve">основная литература: 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1. Безрукова В. С. Как написать реферат, курсовую и дипломную работу. – СПб.: Речь, 2008. – 176 с.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2. Гуляницкая Н. С. Методы науки о музыке. – М.: Музыка, 2009. – 255 с.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3. Гуляницкая Н. С. Руководство к изучению основ музыковедения. – М.: РАМ им. Гнесиных, 2004. – 55 с.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4. Кузнецов И. Н. Основы научных исследований: учебное пособие М.: Дашков и Ко, 2013. – 282 с. – (Учебные издания для бакалавров).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>5. Кузнецов И.Н. Рефераты, курсовые и дипломные работы. Методика под-готовки и оформления: Учебно-метод</w:t>
      </w:r>
      <w:r w:rsidR="007E5C0A" w:rsidRPr="009E1E7C">
        <w:rPr>
          <w:rFonts w:ascii="Times New Roman" w:hAnsi="Times New Roman" w:cs="Times New Roman"/>
          <w:color w:val="000000"/>
          <w:sz w:val="24"/>
          <w:szCs w:val="24"/>
        </w:rPr>
        <w:t>ическое пособие. – М.: Издатель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ско-торговая корпорация «Дашков и К°», 2008. – 340 с. </w:t>
      </w:r>
    </w:p>
    <w:p w:rsidR="00C96D2D" w:rsidRPr="009E1E7C" w:rsidRDefault="00C96D2D" w:rsidP="009E1E7C">
      <w:pPr>
        <w:tabs>
          <w:tab w:val="left" w:pos="1134"/>
          <w:tab w:val="right" w:leader="underscore" w:pos="8505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E1E7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б)</w:t>
      </w:r>
      <w:r w:rsidRPr="009E1E7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 xml:space="preserve">дополнительная литература: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1. Абдулин Э. Б., Николаева Е.В. Теория музыкального образования. - М., 2004.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2. КирнарскаяД.Л. Музыкальные способности. - М., 2003.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3. МедушевскийВ.В. О закономерностях и средствах художественного воз-действия музыки. – М., 1976.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>4. Методические указания по работе над</w:t>
      </w:r>
      <w:r w:rsidR="001741E6"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 дипломными рефератами / Новоси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>бирская государственная консерва</w:t>
      </w:r>
      <w:r w:rsidR="001741E6" w:rsidRPr="009E1E7C">
        <w:rPr>
          <w:rFonts w:ascii="Times New Roman" w:hAnsi="Times New Roman" w:cs="Times New Roman"/>
          <w:color w:val="000000"/>
          <w:sz w:val="24"/>
          <w:szCs w:val="24"/>
        </w:rPr>
        <w:t>тория им. М.И. Глинки. - Новоси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бирск, 1986.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5. ПодуровскийВ.М., Суслова Н.В. Психологическая коррекция музыкально-педагогической деятельности. - М., 2001.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6. Психологические и педагогические проблемы музыкального образования: Сб. ст. – Новосибирск, 1986.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>7. Анализ педагогической работы в проце</w:t>
      </w:r>
      <w:r w:rsidR="001741E6" w:rsidRPr="009E1E7C">
        <w:rPr>
          <w:rFonts w:ascii="Times New Roman" w:hAnsi="Times New Roman" w:cs="Times New Roman"/>
          <w:color w:val="000000"/>
          <w:sz w:val="24"/>
          <w:szCs w:val="24"/>
        </w:rPr>
        <w:t>ссе практики наблюдения // Мето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>дические указания по педагогической</w:t>
      </w:r>
      <w:r w:rsidR="001741E6"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практике для студентов исполни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тельских факультетов / Новосибирская государственная консерватория им. М.И. Глинки. - Новосибирск, 1986. - С. 27-29.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8. РажниковВ.Г. Диалоги о музыкальной педагогике. – М., 1994. </w:t>
      </w:r>
    </w:p>
    <w:p w:rsidR="00C96D2D" w:rsidRPr="009E1E7C" w:rsidRDefault="00C96D2D" w:rsidP="009E1E7C">
      <w:pPr>
        <w:autoSpaceDE w:val="0"/>
        <w:autoSpaceDN w:val="0"/>
        <w:adjustRightInd w:val="0"/>
        <w:spacing w:after="24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9. Бочкарев Л.Л. Психология музыкальной деятельности. – М., 1997. 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>10. Шкляр М. Ф. Основы научных исследований: учебное пособие – 4-е изд. – М.</w:t>
      </w:r>
      <w:r w:rsidR="007E5C0A"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: Дашков и Ко, 2012. – 243 с. </w:t>
      </w:r>
    </w:p>
    <w:p w:rsidR="00AE5C3E" w:rsidRPr="009E1E7C" w:rsidRDefault="00AE5C3E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D2D" w:rsidRPr="009E1E7C" w:rsidRDefault="001741E6" w:rsidP="009E1E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9E1E7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DE7577" w:rsidRPr="009E1E7C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DE7577" w:rsidRPr="009E1E7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DE7577" w:rsidRPr="009E1E7C" w:rsidRDefault="00DE7577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E7C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E9301F" w:rsidRPr="009E1E7C">
        <w:rPr>
          <w:rFonts w:ascii="Times New Roman" w:eastAsia="Calibri" w:hAnsi="Times New Roman" w:cs="Times New Roman"/>
          <w:sz w:val="24"/>
          <w:szCs w:val="24"/>
        </w:rPr>
        <w:t>87320</w:t>
      </w:r>
      <w:r w:rsidRPr="009E1E7C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DE7577" w:rsidRPr="009E1E7C" w:rsidRDefault="00DE7577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E9301F"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9E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AE5C3E" w:rsidRPr="009E1E7C" w:rsidRDefault="00AE5C3E" w:rsidP="009E1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77" w:rsidRPr="009E1E7C" w:rsidRDefault="001741E6" w:rsidP="009E1E7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DE7577" w:rsidRPr="009E1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E7577" w:rsidRPr="009E1E7C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Научно-исследовательская работа </w:t>
      </w:r>
      <w:r w:rsidRPr="009E1E7C">
        <w:rPr>
          <w:rFonts w:ascii="Times New Roman" w:hAnsi="Times New Roman" w:cs="Times New Roman"/>
          <w:sz w:val="24"/>
          <w:szCs w:val="24"/>
        </w:rPr>
        <w:t>предполагает изучение вопросов по темедипломной работы и, соответственно, ее содержание носит индивидуальный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 xml:space="preserve">характер. Каждый студент получает индивидуальное задание.Тема дипломного проекта должна быть актуальной для специализации, которую получает обучающийся, для предполагаемой организации, где впоследствии будет работать выпускник, </w:t>
      </w:r>
      <w:r w:rsidRPr="009E1E7C">
        <w:rPr>
          <w:rFonts w:ascii="Times New Roman" w:hAnsi="Times New Roman" w:cs="Times New Roman"/>
          <w:sz w:val="24"/>
          <w:szCs w:val="24"/>
        </w:rPr>
        <w:lastRenderedPageBreak/>
        <w:t>соответствовать направленности работы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подразделения и согласовываться с руководителями организации(подразделений).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Перечень необходимых для дипломного реферата материалов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определяется, прежде всего, тематикой этой работы. При сборе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материалов для дипломного реферата необходимо обеспечить максимальный доступ к информации, ее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полноту и достоверность с целью возможного проведения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глубокого и детального ее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анализа. Индивидуальное задание разрабатывается руководителем практики  с учётомспециализации, требований практики и темы дипломной работы.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Индивидуальное задание ориентирует студента на проведениетеоретического и практического исследования с использованием знаний, приобретенных в разных разделах цикла общегуманитарных и профессиональных дисциплин.</w:t>
      </w:r>
    </w:p>
    <w:p w:rsidR="00E9301F" w:rsidRPr="009E1E7C" w:rsidRDefault="00E9301F" w:rsidP="009E1E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577" w:rsidRPr="009E1E7C" w:rsidRDefault="001741E6" w:rsidP="009E1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E7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DE7577" w:rsidRPr="009E1E7C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C96D2D" w:rsidRPr="009E1E7C" w:rsidRDefault="00C96D2D" w:rsidP="009E1E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 xml:space="preserve">С целью оптимизации подготовки к </w:t>
      </w:r>
      <w:r w:rsidRPr="009E1E7C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научно-исследовательской работе </w:t>
      </w:r>
      <w:r w:rsidRPr="009E1E7C">
        <w:rPr>
          <w:rFonts w:ascii="Times New Roman" w:hAnsi="Times New Roman" w:cs="Times New Roman"/>
          <w:sz w:val="24"/>
          <w:szCs w:val="24"/>
        </w:rPr>
        <w:t>студент долженознакомиться с программой и содержанием предстоящей работы, изучить справочную литературу, получить необходимые консультации поорганизации и методике работы от руководителя практики от кафедры, регулярно предоставлять на проверку еженедельные отчеты</w:t>
      </w:r>
      <w:r w:rsidR="009514CA" w:rsidRPr="009E1E7C">
        <w:rPr>
          <w:rFonts w:ascii="Times New Roman" w:hAnsi="Times New Roman" w:cs="Times New Roman"/>
          <w:sz w:val="24"/>
          <w:szCs w:val="24"/>
        </w:rPr>
        <w:t xml:space="preserve"> </w:t>
      </w:r>
      <w:r w:rsidRPr="009E1E7C">
        <w:rPr>
          <w:rFonts w:ascii="Times New Roman" w:hAnsi="Times New Roman" w:cs="Times New Roman"/>
          <w:sz w:val="24"/>
          <w:szCs w:val="24"/>
        </w:rPr>
        <w:t>о выполненной работе.</w:t>
      </w:r>
    </w:p>
    <w:p w:rsidR="003D4838" w:rsidRPr="009E1E7C" w:rsidRDefault="00DE7577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7577" w:rsidRPr="009E1E7C" w:rsidRDefault="001741E6" w:rsidP="009E1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BD7400"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</w:t>
      </w:r>
      <w:r w:rsidR="00DE7577" w:rsidRPr="009E1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рограммное обеспечение и Интернет-ресурсы:</w:t>
      </w:r>
    </w:p>
    <w:p w:rsidR="00DE7577" w:rsidRPr="009E1E7C" w:rsidRDefault="00DE7577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DE7577" w:rsidRPr="009E1E7C" w:rsidRDefault="00C64A7E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7E5C0A" w:rsidRPr="009E1E7C" w:rsidRDefault="00C64A7E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DE7577" w:rsidRPr="009E1E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DE7577" w:rsidRPr="009E1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3D4838" w:rsidRDefault="003D4838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E7C" w:rsidRDefault="009E1E7C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E7C" w:rsidRDefault="009E1E7C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E7C" w:rsidRDefault="009E1E7C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E7C" w:rsidRDefault="009E1E7C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DE" w:rsidRDefault="007521DE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DE" w:rsidRDefault="007521DE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DE" w:rsidRDefault="007521DE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1E7C" w:rsidRPr="009E1E7C" w:rsidRDefault="009E1E7C" w:rsidP="009E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DE" w:rsidRPr="00636102" w:rsidRDefault="007521DE" w:rsidP="007521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9E1E7C" w:rsidRDefault="009E1E7C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C3E" w:rsidRPr="009E1E7C" w:rsidRDefault="00AE5C3E" w:rsidP="009E1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7C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4F2AF1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9E1E7C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9E1E7C" w:rsidRDefault="009E1E7C" w:rsidP="009E1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AF1" w:rsidRPr="00C75CAB" w:rsidRDefault="004F2AF1" w:rsidP="004F2AF1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F2AF1" w:rsidRPr="00C75CAB" w:rsidRDefault="004F2AF1" w:rsidP="004F2A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F1" w:rsidRPr="00C75CAB" w:rsidRDefault="004F2AF1" w:rsidP="004F2A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4F2AF1" w:rsidRPr="00C75CAB" w:rsidRDefault="004F2AF1" w:rsidP="004F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F2AF1" w:rsidRPr="00EC71B9" w:rsidRDefault="004F2AF1" w:rsidP="004F2A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27F" w:rsidRPr="009E1E7C" w:rsidRDefault="00BB627F" w:rsidP="004F2A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9E1E7C" w:rsidSect="009E1E7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7E" w:rsidRDefault="00C64A7E" w:rsidP="009E1E7C">
      <w:pPr>
        <w:spacing w:after="0" w:line="240" w:lineRule="auto"/>
      </w:pPr>
      <w:r>
        <w:separator/>
      </w:r>
    </w:p>
  </w:endnote>
  <w:endnote w:type="continuationSeparator" w:id="0">
    <w:p w:rsidR="00C64A7E" w:rsidRDefault="00C64A7E" w:rsidP="009E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641"/>
      <w:docPartObj>
        <w:docPartGallery w:val="Page Numbers (Bottom of Page)"/>
        <w:docPartUnique/>
      </w:docPartObj>
    </w:sdtPr>
    <w:sdtEndPr/>
    <w:sdtContent>
      <w:p w:rsidR="009E1E7C" w:rsidRDefault="002B4C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E7C" w:rsidRDefault="009E1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7E" w:rsidRDefault="00C64A7E" w:rsidP="009E1E7C">
      <w:pPr>
        <w:spacing w:after="0" w:line="240" w:lineRule="auto"/>
      </w:pPr>
      <w:r>
        <w:separator/>
      </w:r>
    </w:p>
  </w:footnote>
  <w:footnote w:type="continuationSeparator" w:id="0">
    <w:p w:rsidR="00C64A7E" w:rsidRDefault="00C64A7E" w:rsidP="009E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F96"/>
    <w:multiLevelType w:val="hybridMultilevel"/>
    <w:tmpl w:val="5292012A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C"/>
    <w:rsid w:val="000619B9"/>
    <w:rsid w:val="0007787A"/>
    <w:rsid w:val="000B48E6"/>
    <w:rsid w:val="000C2E0C"/>
    <w:rsid w:val="001741E6"/>
    <w:rsid w:val="002437BB"/>
    <w:rsid w:val="002B4C92"/>
    <w:rsid w:val="002F0E24"/>
    <w:rsid w:val="003D4838"/>
    <w:rsid w:val="003E7444"/>
    <w:rsid w:val="00436827"/>
    <w:rsid w:val="004F2AF1"/>
    <w:rsid w:val="00531786"/>
    <w:rsid w:val="00531EFC"/>
    <w:rsid w:val="005B28F5"/>
    <w:rsid w:val="005F094E"/>
    <w:rsid w:val="0060379B"/>
    <w:rsid w:val="00610719"/>
    <w:rsid w:val="00655ABC"/>
    <w:rsid w:val="007521DE"/>
    <w:rsid w:val="00753CA8"/>
    <w:rsid w:val="007E5C0A"/>
    <w:rsid w:val="008D17D5"/>
    <w:rsid w:val="009514CA"/>
    <w:rsid w:val="009E1E7C"/>
    <w:rsid w:val="00AC5176"/>
    <w:rsid w:val="00AC7B65"/>
    <w:rsid w:val="00AE187D"/>
    <w:rsid w:val="00AE5C3E"/>
    <w:rsid w:val="00B05949"/>
    <w:rsid w:val="00BB627F"/>
    <w:rsid w:val="00BD7400"/>
    <w:rsid w:val="00BF0AB5"/>
    <w:rsid w:val="00C64A7E"/>
    <w:rsid w:val="00C96D2D"/>
    <w:rsid w:val="00D54B23"/>
    <w:rsid w:val="00D74D68"/>
    <w:rsid w:val="00DE3D5A"/>
    <w:rsid w:val="00DE7577"/>
    <w:rsid w:val="00E72064"/>
    <w:rsid w:val="00E74ADF"/>
    <w:rsid w:val="00E9301F"/>
    <w:rsid w:val="00EA0F6D"/>
    <w:rsid w:val="00EF4DCA"/>
    <w:rsid w:val="00FC5BB8"/>
    <w:rsid w:val="00F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EFB9"/>
  <w15:docId w15:val="{0CA3C838-9F1C-46BA-9977-827B552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577"/>
    <w:rPr>
      <w:color w:val="0000FF" w:themeColor="hyperlink"/>
      <w:u w:val="single"/>
    </w:rPr>
  </w:style>
  <w:style w:type="paragraph" w:customStyle="1" w:styleId="Default">
    <w:name w:val="Default"/>
    <w:rsid w:val="00EF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E7C"/>
  </w:style>
  <w:style w:type="paragraph" w:styleId="a6">
    <w:name w:val="footer"/>
    <w:basedOn w:val="a"/>
    <w:link w:val="a7"/>
    <w:uiPriority w:val="99"/>
    <w:unhideWhenUsed/>
    <w:rsid w:val="009E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2020-01-27T16:07:00Z</dcterms:created>
  <dcterms:modified xsi:type="dcterms:W3CDTF">2021-08-31T12:57:00Z</dcterms:modified>
</cp:coreProperties>
</file>